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Додаток 1</w:t>
      </w:r>
    </w:p>
    <w:tbl>
      <w:tblPr>
        <w:tblStyle w:val="Table1"/>
        <w:tblW w:w="10178.0" w:type="dxa"/>
        <w:jc w:val="left"/>
        <w:tblInd w:w="-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  <w:tblGridChange w:id="0">
          <w:tblGrid>
            <w:gridCol w:w="731"/>
            <w:gridCol w:w="1895"/>
            <w:gridCol w:w="720"/>
            <w:gridCol w:w="724"/>
            <w:gridCol w:w="724"/>
            <w:gridCol w:w="660"/>
            <w:gridCol w:w="737"/>
            <w:gridCol w:w="763"/>
            <w:gridCol w:w="1425"/>
            <w:gridCol w:w="1695"/>
            <w:gridCol w:w="104"/>
          </w:tblGrid>
        </w:tblGridChange>
      </w:tblGrid>
      <w:tr>
        <w:trPr>
          <w:trHeight w:val="2060" w:hRule="atLeast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548dd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1: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РОБОЧИЙ ПЛАН ТА ТЕРМІНИ РЕАЛІЗАЦІЇ ПРОЕКТУ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ОФОРМЛЕННЯ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Робочий план та термін реалізації проекту є обов’язковим Додатком до заявки програми «Аудіовізуальне мистецтво».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e7e6e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Захід, вид діяльності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(заповнюється відповідно до потреб проекту)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05.2020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06.2020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07.2020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….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Відповідальний член команди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Показники перевірки виконання заходу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Бюджет заходу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(грн)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Оформлення договірних відносин з членами команди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2. Підготовка до створення радіопроекту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 Розробка концепції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2.2.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3. Виробництво Радіопродукту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3.1.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Інформаційний супровід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4.1.  Створення ФБ-сторінки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4.2.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4.3.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Підготовка звітності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5.1.  Підготовка фінансового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5.2.  Підготовка змістового звіту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ind w:left="360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5.3.  Підготовка висновку аудитора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e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7"/>
                <w:szCs w:val="17"/>
                <w:rtl w:val="0"/>
              </w:rPr>
              <w:t xml:space="preserve">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     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B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